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222222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222222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222222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222222"/>
          <w:spacing w:val="0"/>
          <w:position w:val="0"/>
          <w:sz w:val="24"/>
          <w:shd w:fill="FFFFFF" w:val="clear"/>
        </w:rPr>
        <w:t xml:space="preserve">Приложение </w:t>
      </w:r>
      <w:r>
        <w:rPr>
          <w:rFonts w:ascii="Segoe UI Symbol" w:hAnsi="Segoe UI Symbol" w:cs="Segoe UI Symbol" w:eastAsia="Segoe UI Symbol"/>
          <w:color w:val="222222"/>
          <w:spacing w:val="0"/>
          <w:position w:val="0"/>
          <w:sz w:val="24"/>
          <w:shd w:fill="FFFFFF" w:val="clear"/>
        </w:rPr>
        <w:t xml:space="preserve">№</w:t>
      </w:r>
      <w:r>
        <w:rPr>
          <w:rFonts w:ascii="Times New Roman" w:hAnsi="Times New Roman" w:cs="Times New Roman" w:eastAsia="Times New Roman"/>
          <w:color w:val="222222"/>
          <w:spacing w:val="0"/>
          <w:position w:val="0"/>
          <w:sz w:val="24"/>
          <w:shd w:fill="FFFFFF" w:val="clear"/>
        </w:rPr>
        <w:t xml:space="preserve">1 </w:t>
      </w:r>
      <w:r>
        <w:rPr>
          <w:rFonts w:ascii="Times New Roman" w:hAnsi="Times New Roman" w:cs="Times New Roman" w:eastAsia="Times New Roman"/>
          <w:color w:val="222222"/>
          <w:spacing w:val="0"/>
          <w:position w:val="0"/>
          <w:sz w:val="24"/>
          <w:shd w:fill="FFFFFF" w:val="clear"/>
        </w:rPr>
        <w:t xml:space="preserve">к Положению о конкурсе, учрежденном БФ </w:t>
      </w:r>
      <w:r>
        <w:rPr>
          <w:rFonts w:ascii="Times New Roman" w:hAnsi="Times New Roman" w:cs="Times New Roman" w:eastAsia="Times New Roman"/>
          <w:color w:val="222222"/>
          <w:spacing w:val="0"/>
          <w:position w:val="0"/>
          <w:sz w:val="24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222222"/>
          <w:spacing w:val="0"/>
          <w:position w:val="0"/>
          <w:sz w:val="24"/>
          <w:shd w:fill="FFFFFF" w:val="clear"/>
        </w:rPr>
        <w:t xml:space="preserve">Искусство, наука и спорт</w:t>
      </w:r>
      <w:r>
        <w:rPr>
          <w:rFonts w:ascii="Times New Roman" w:hAnsi="Times New Roman" w:cs="Times New Roman" w:eastAsia="Times New Roman"/>
          <w:color w:val="222222"/>
          <w:spacing w:val="0"/>
          <w:position w:val="0"/>
          <w:sz w:val="24"/>
          <w:shd w:fill="FFFFFF" w:val="clear"/>
        </w:rPr>
        <w:t xml:space="preserve">» </w:t>
      </w: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222222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222222"/>
          <w:spacing w:val="0"/>
          <w:position w:val="0"/>
          <w:sz w:val="24"/>
          <w:shd w:fill="FFFFFF" w:val="clear"/>
        </w:rPr>
        <w:t xml:space="preserve">в номинации </w:t>
      </w:r>
      <w:r>
        <w:rPr>
          <w:rFonts w:ascii="Times New Roman" w:hAnsi="Times New Roman" w:cs="Times New Roman" w:eastAsia="Times New Roman"/>
          <w:color w:val="222222"/>
          <w:spacing w:val="0"/>
          <w:position w:val="0"/>
          <w:sz w:val="24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222222"/>
          <w:spacing w:val="0"/>
          <w:position w:val="0"/>
          <w:sz w:val="24"/>
          <w:shd w:fill="FFFFFF" w:val="clear"/>
        </w:rPr>
        <w:t xml:space="preserve">Театр с закрытыми глазами</w:t>
      </w:r>
      <w:r>
        <w:rPr>
          <w:rFonts w:ascii="Times New Roman" w:hAnsi="Times New Roman" w:cs="Times New Roman" w:eastAsia="Times New Roman"/>
          <w:color w:val="222222"/>
          <w:spacing w:val="0"/>
          <w:position w:val="0"/>
          <w:sz w:val="24"/>
          <w:shd w:fill="FFFFFF" w:val="clear"/>
        </w:rPr>
        <w:t xml:space="preserve">» </w:t>
      </w:r>
      <w:r>
        <w:rPr>
          <w:rFonts w:ascii="Times New Roman" w:hAnsi="Times New Roman" w:cs="Times New Roman" w:eastAsia="Times New Roman"/>
          <w:color w:val="222222"/>
          <w:spacing w:val="0"/>
          <w:position w:val="0"/>
          <w:sz w:val="24"/>
          <w:shd w:fill="FFFFFF" w:val="clear"/>
        </w:rPr>
        <w:t xml:space="preserve">в рамках </w:t>
      </w:r>
      <w:r>
        <w:rPr>
          <w:rFonts w:ascii="Times New Roman" w:hAnsi="Times New Roman" w:cs="Times New Roman" w:eastAsia="Times New Roman"/>
          <w:color w:val="222222"/>
          <w:spacing w:val="0"/>
          <w:position w:val="0"/>
          <w:sz w:val="24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222222"/>
          <w:spacing w:val="0"/>
          <w:position w:val="0"/>
          <w:sz w:val="24"/>
          <w:shd w:fill="FFFFFF" w:val="clear"/>
        </w:rPr>
        <w:t xml:space="preserve">Биржи культурных проектов</w:t>
      </w:r>
      <w:r>
        <w:rPr>
          <w:rFonts w:ascii="Times New Roman" w:hAnsi="Times New Roman" w:cs="Times New Roman" w:eastAsia="Times New Roman"/>
          <w:color w:val="222222"/>
          <w:spacing w:val="0"/>
          <w:position w:val="0"/>
          <w:sz w:val="24"/>
          <w:shd w:fill="FFFFFF" w:val="clear"/>
        </w:rPr>
        <w:t xml:space="preserve">»</w:t>
      </w: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222222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222222"/>
          <w:spacing w:val="0"/>
          <w:position w:val="0"/>
          <w:sz w:val="24"/>
          <w:shd w:fill="FFFFFF" w:val="clear"/>
        </w:rPr>
        <w:t xml:space="preserve"> VI </w:t>
      </w:r>
      <w:r>
        <w:rPr>
          <w:rFonts w:ascii="Times New Roman" w:hAnsi="Times New Roman" w:cs="Times New Roman" w:eastAsia="Times New Roman"/>
          <w:color w:val="222222"/>
          <w:spacing w:val="0"/>
          <w:position w:val="0"/>
          <w:sz w:val="24"/>
          <w:shd w:fill="FFFFFF" w:val="clear"/>
        </w:rPr>
        <w:t xml:space="preserve">Санкт-Петербургского международного культурного форума </w:t>
      </w: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222222"/>
          <w:spacing w:val="0"/>
          <w:position w:val="0"/>
          <w:sz w:val="24"/>
          <w:shd w:fill="FFFFFF" w:val="clear"/>
        </w:rPr>
      </w:pP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tbl>
      <w:tblPr/>
      <w:tblGrid>
        <w:gridCol w:w="2944"/>
        <w:gridCol w:w="2944"/>
        <w:gridCol w:w="2944"/>
      </w:tblGrid>
      <w:tr>
        <w:trPr>
          <w:trHeight w:val="615" w:hRule="auto"/>
          <w:jc w:val="left"/>
        </w:trPr>
        <w:tc>
          <w:tcPr>
            <w:tcW w:w="29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Наименование</w:t>
            </w:r>
          </w:p>
        </w:tc>
        <w:tc>
          <w:tcPr>
            <w:tcW w:w="29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Сумма</w:t>
            </w:r>
          </w:p>
        </w:tc>
        <w:tc>
          <w:tcPr>
            <w:tcW w:w="29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Комментарий</w:t>
            </w:r>
          </w:p>
        </w:tc>
      </w:tr>
      <w:tr>
        <w:trPr>
          <w:trHeight w:val="615" w:hRule="auto"/>
          <w:jc w:val="left"/>
        </w:trPr>
        <w:tc>
          <w:tcPr>
            <w:tcW w:w="29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Город 1</w:t>
            </w:r>
          </w:p>
        </w:tc>
        <w:tc>
          <w:tcPr>
            <w:tcW w:w="29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9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265" w:hRule="auto"/>
          <w:jc w:val="left"/>
        </w:trPr>
        <w:tc>
          <w:tcPr>
            <w:tcW w:w="29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Гонорары\количество человек \сумма 1 гонорара</w:t>
            </w:r>
          </w:p>
        </w:tc>
        <w:tc>
          <w:tcPr>
            <w:tcW w:w="29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9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231" w:hRule="auto"/>
          <w:jc w:val="left"/>
        </w:trPr>
        <w:tc>
          <w:tcPr>
            <w:tcW w:w="29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Дорога (перелет или аренда автомобиля)</w:t>
            </w:r>
          </w:p>
        </w:tc>
        <w:tc>
          <w:tcPr>
            <w:tcW w:w="29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9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265" w:hRule="auto"/>
          <w:jc w:val="left"/>
        </w:trPr>
        <w:tc>
          <w:tcPr>
            <w:tcW w:w="29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Проживание (в случае необходимости ночевки)</w:t>
            </w:r>
          </w:p>
        </w:tc>
        <w:tc>
          <w:tcPr>
            <w:tcW w:w="29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9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231" w:hRule="auto"/>
          <w:jc w:val="left"/>
        </w:trPr>
        <w:tc>
          <w:tcPr>
            <w:tcW w:w="29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Такси по городу, в котором проходит спектакль</w:t>
            </w:r>
          </w:p>
        </w:tc>
        <w:tc>
          <w:tcPr>
            <w:tcW w:w="29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9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231" w:hRule="auto"/>
          <w:jc w:val="left"/>
        </w:trPr>
        <w:tc>
          <w:tcPr>
            <w:tcW w:w="29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Суточные (не более 700 р. на человека в сутки)</w:t>
            </w:r>
          </w:p>
        </w:tc>
        <w:tc>
          <w:tcPr>
            <w:tcW w:w="29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9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265" w:hRule="auto"/>
          <w:jc w:val="left"/>
        </w:trPr>
        <w:tc>
          <w:tcPr>
            <w:tcW w:w="29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Исходящий реквизит спектакля</w:t>
            </w:r>
          </w:p>
        </w:tc>
        <w:tc>
          <w:tcPr>
            <w:tcW w:w="29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9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59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